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pBdr>
          <w:top w:val="none" w:color="auto" w:sz="0" w:space="0"/>
          <w:left w:val="none" w:color="auto" w:sz="0" w:space="0"/>
          <w:bottom w:val="none" w:color="auto" w:sz="0" w:space="0"/>
          <w:right w:val="none" w:color="auto" w:sz="0" w:space="0"/>
        </w:pBdr>
        <w:snapToGrid/>
        <w:spacing w:before="0" w:beforeAutospacing="0" w:after="0" w:afterAutospacing="0" w:line="240" w:lineRule="auto"/>
        <w:ind w:left="0" w:right="0" w:firstLine="0"/>
        <w:jc w:val="left"/>
        <w:textAlignment w:val="baseline"/>
        <w:rPr>
          <w:rStyle w:val="5"/>
          <w:rFonts w:hint="eastAsia" w:asciiTheme="minorEastAsia" w:hAnsiTheme="minorEastAsia" w:eastAsiaTheme="minorEastAsia" w:cstheme="minorEastAsia"/>
          <w:b w:val="0"/>
          <w:bCs/>
          <w:i w:val="0"/>
          <w:caps w:val="0"/>
          <w:color w:val="000000"/>
          <w:spacing w:val="0"/>
          <w:w w:val="100"/>
          <w:kern w:val="0"/>
          <w:sz w:val="32"/>
          <w:szCs w:val="32"/>
          <w:lang w:val="en-US" w:eastAsia="zh-CN"/>
        </w:rPr>
      </w:pPr>
      <w:r>
        <w:rPr>
          <w:rStyle w:val="5"/>
          <w:rFonts w:hint="eastAsia" w:asciiTheme="minorEastAsia" w:hAnsiTheme="minorEastAsia" w:eastAsiaTheme="minorEastAsia" w:cstheme="minorEastAsia"/>
          <w:b w:val="0"/>
          <w:bCs/>
          <w:i w:val="0"/>
          <w:caps w:val="0"/>
          <w:color w:val="000000"/>
          <w:spacing w:val="0"/>
          <w:w w:val="100"/>
          <w:kern w:val="0"/>
          <w:sz w:val="32"/>
          <w:szCs w:val="32"/>
          <w:lang w:val="en-US" w:eastAsia="zh-CN"/>
        </w:rPr>
        <w:t>附件2：</w:t>
      </w:r>
      <w:bookmarkStart w:id="0" w:name="_GoBack"/>
      <w:bookmarkEnd w:id="0"/>
    </w:p>
    <w:p>
      <w:pPr>
        <w:widowControl/>
        <w:pBdr>
          <w:top w:val="none" w:color="auto" w:sz="0" w:space="0"/>
          <w:left w:val="none" w:color="auto" w:sz="0" w:space="0"/>
          <w:bottom w:val="none" w:color="auto" w:sz="0" w:space="0"/>
          <w:right w:val="none" w:color="auto" w:sz="0" w:space="0"/>
        </w:pBdr>
        <w:snapToGrid/>
        <w:spacing w:before="0" w:beforeAutospacing="0" w:after="0" w:afterAutospacing="0" w:line="240" w:lineRule="auto"/>
        <w:ind w:left="0" w:right="0" w:firstLine="0"/>
        <w:jc w:val="center"/>
        <w:textAlignment w:val="baseline"/>
        <w:rPr>
          <w:rStyle w:val="5"/>
          <w:rFonts w:ascii="方正小标宋_GBK" w:hAnsi="方正小标宋_GBK" w:eastAsia="方正小标宋_GBK" w:cs="方正小标宋_GBK"/>
          <w:b w:val="0"/>
          <w:bCs/>
          <w:i w:val="0"/>
          <w:caps w:val="0"/>
          <w:color w:val="000000"/>
          <w:spacing w:val="0"/>
          <w:w w:val="100"/>
          <w:kern w:val="0"/>
          <w:sz w:val="44"/>
          <w:szCs w:val="44"/>
          <w:lang w:val="en-US" w:eastAsia="zh-CN"/>
        </w:rPr>
      </w:pPr>
      <w:r>
        <w:rPr>
          <w:rStyle w:val="5"/>
          <w:rFonts w:ascii="方正小标宋_GBK" w:hAnsi="方正小标宋_GBK" w:eastAsia="方正小标宋_GBK" w:cs="方正小标宋_GBK"/>
          <w:b w:val="0"/>
          <w:bCs/>
          <w:i w:val="0"/>
          <w:caps w:val="0"/>
          <w:color w:val="000000"/>
          <w:spacing w:val="0"/>
          <w:w w:val="100"/>
          <w:kern w:val="0"/>
          <w:sz w:val="44"/>
          <w:szCs w:val="44"/>
          <w:lang w:val="en-US" w:eastAsia="zh-CN"/>
        </w:rPr>
        <w:t>2021年度二级建造师职业资格审核</w:t>
      </w:r>
    </w:p>
    <w:p>
      <w:pPr>
        <w:widowControl/>
        <w:pBdr>
          <w:top w:val="none" w:color="auto" w:sz="0" w:space="0"/>
          <w:left w:val="none" w:color="auto" w:sz="0" w:space="0"/>
          <w:bottom w:val="none" w:color="auto" w:sz="0" w:space="0"/>
          <w:right w:val="none" w:color="auto" w:sz="0" w:space="0"/>
        </w:pBdr>
        <w:snapToGrid/>
        <w:spacing w:before="0" w:beforeAutospacing="0" w:after="0" w:afterAutospacing="0" w:line="240" w:lineRule="auto"/>
        <w:ind w:left="0" w:right="0" w:firstLine="0"/>
        <w:jc w:val="center"/>
        <w:textAlignment w:val="baseline"/>
        <w:rPr>
          <w:rStyle w:val="5"/>
          <w:rFonts w:ascii="方正小标宋_GBK" w:hAnsi="方正小标宋_GBK" w:eastAsia="方正小标宋_GBK" w:cs="方正小标宋_GBK"/>
          <w:b w:val="0"/>
          <w:bCs/>
          <w:i w:val="0"/>
          <w:caps w:val="0"/>
          <w:color w:val="000000"/>
          <w:spacing w:val="0"/>
          <w:w w:val="100"/>
          <w:kern w:val="0"/>
          <w:sz w:val="32"/>
          <w:szCs w:val="32"/>
          <w:lang w:val="en-US" w:eastAsia="zh-CN"/>
        </w:rPr>
      </w:pPr>
      <w:r>
        <w:rPr>
          <w:rStyle w:val="5"/>
          <w:rFonts w:hint="eastAsia" w:ascii="方正小标宋_GBK" w:hAnsi="方正小标宋_GBK" w:eastAsia="方正小标宋_GBK" w:cs="方正小标宋_GBK"/>
          <w:b w:val="0"/>
          <w:bCs/>
          <w:i w:val="0"/>
          <w:caps w:val="0"/>
          <w:color w:val="000000"/>
          <w:spacing w:val="0"/>
          <w:w w:val="100"/>
          <w:kern w:val="0"/>
          <w:sz w:val="44"/>
          <w:szCs w:val="44"/>
          <w:lang w:val="en-US" w:eastAsia="zh-CN"/>
        </w:rPr>
        <w:t>有关要求</w:t>
      </w:r>
    </w:p>
    <w:p>
      <w:pPr>
        <w:widowControl/>
        <w:pBdr>
          <w:top w:val="none" w:color="auto" w:sz="0" w:space="0"/>
          <w:left w:val="none" w:color="auto" w:sz="0" w:space="0"/>
          <w:bottom w:val="none" w:color="auto" w:sz="0" w:space="0"/>
          <w:right w:val="none" w:color="auto" w:sz="0" w:space="0"/>
        </w:pBdr>
        <w:snapToGrid/>
        <w:spacing w:before="0" w:beforeAutospacing="0" w:after="0" w:afterAutospacing="0" w:line="240" w:lineRule="auto"/>
        <w:ind w:left="0" w:right="0" w:firstLine="0"/>
        <w:jc w:val="center"/>
        <w:textAlignment w:val="baseline"/>
        <w:rPr>
          <w:rStyle w:val="5"/>
          <w:rFonts w:ascii="Helvetica" w:hAnsi="Helvetica" w:eastAsia="Helvetica"/>
          <w:b/>
          <w:i w:val="0"/>
          <w:caps w:val="0"/>
          <w:color w:val="000000"/>
          <w:spacing w:val="0"/>
          <w:w w:val="100"/>
          <w:kern w:val="0"/>
          <w:sz w:val="24"/>
          <w:szCs w:val="24"/>
          <w:lang w:val="en-US" w:eastAsia="zh-CN"/>
        </w:rPr>
      </w:pP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jc w:val="left"/>
        <w:textAlignment w:val="baseline"/>
        <w:rPr>
          <w:rStyle w:val="4"/>
          <w:rFonts w:ascii="仿宋_GB2312" w:hAnsi="仿宋_GB2312" w:eastAsia="仿宋_GB2312"/>
          <w:b/>
          <w:i w:val="0"/>
          <w:caps w:val="0"/>
          <w:color w:val="000000"/>
          <w:spacing w:val="0"/>
          <w:w w:val="100"/>
          <w:kern w:val="0"/>
          <w:sz w:val="32"/>
          <w:szCs w:val="32"/>
          <w:lang w:val="en-US" w:eastAsia="zh-CN"/>
        </w:rPr>
      </w:pPr>
      <w:r>
        <w:rPr>
          <w:rStyle w:val="4"/>
          <w:rFonts w:ascii="仿宋_GB2312" w:hAnsi="仿宋_GB2312" w:eastAsia="仿宋_GB2312"/>
          <w:b/>
          <w:i w:val="0"/>
          <w:caps w:val="0"/>
          <w:color w:val="000000"/>
          <w:spacing w:val="0"/>
          <w:w w:val="100"/>
          <w:kern w:val="0"/>
          <w:sz w:val="32"/>
          <w:szCs w:val="32"/>
          <w:lang w:val="en-US" w:eastAsia="zh-CN"/>
        </w:rPr>
        <w:t xml:space="preserve">  一、资格审核材料</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4"/>
          <w:rFonts w:ascii="仿宋_GB2312" w:hAnsi="仿宋_GB2312" w:eastAsia="仿宋_GB2312"/>
          <w:b/>
          <w:i w:val="0"/>
          <w:caps w:val="0"/>
          <w:color w:val="000000"/>
          <w:spacing w:val="0"/>
          <w:w w:val="100"/>
          <w:kern w:val="0"/>
          <w:sz w:val="32"/>
          <w:szCs w:val="32"/>
          <w:lang w:val="en-US" w:eastAsia="zh-CN"/>
        </w:rPr>
        <w:t>（一）全科人员：</w:t>
      </w:r>
      <w:r>
        <w:rPr>
          <w:rStyle w:val="5"/>
          <w:rFonts w:ascii="仿宋_GB2312" w:hAnsi="仿宋_GB2312" w:eastAsia="仿宋_GB2312"/>
          <w:b w:val="0"/>
          <w:i w:val="0"/>
          <w:caps w:val="0"/>
          <w:spacing w:val="0"/>
          <w:w w:val="100"/>
          <w:kern w:val="0"/>
          <w:sz w:val="32"/>
          <w:szCs w:val="32"/>
          <w:lang w:val="en-US" w:eastAsia="zh-CN"/>
        </w:rPr>
        <w:t>1.身份证原件及复印件；2.学历证书原件及复印件；3.从事建设工程项目施工管理工作满两年证明材料；4.学信网不可查验证书及中专学历的考生另需提供学历认证报告原件及复印件。</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cs="仿宋_GB2312"/>
          <w:b/>
          <w:bCs/>
          <w:i w:val="0"/>
          <w:caps w:val="0"/>
          <w:spacing w:val="0"/>
          <w:w w:val="100"/>
          <w:kern w:val="0"/>
          <w:sz w:val="32"/>
          <w:szCs w:val="32"/>
          <w:lang w:val="en-US" w:eastAsia="zh-CN"/>
        </w:rPr>
        <w:t>（二）免试人员：</w:t>
      </w:r>
      <w:r>
        <w:rPr>
          <w:rStyle w:val="5"/>
          <w:rFonts w:ascii="仿宋_GB2312" w:hAnsi="仿宋_GB2312" w:eastAsia="仿宋_GB2312"/>
          <w:b w:val="0"/>
          <w:i w:val="0"/>
          <w:caps w:val="0"/>
          <w:spacing w:val="0"/>
          <w:w w:val="100"/>
          <w:kern w:val="0"/>
          <w:sz w:val="32"/>
          <w:szCs w:val="32"/>
          <w:lang w:val="en-US" w:eastAsia="zh-CN"/>
        </w:rPr>
        <w:t>（1）免试《建设工程施工管理》和《建设工程法规及相关知识》2个科目的考生分</w:t>
      </w:r>
      <w:r>
        <w:rPr>
          <w:rStyle w:val="5"/>
          <w:rFonts w:ascii="仿宋_GB2312" w:hAnsi="仿宋_GB2312" w:eastAsia="仿宋_GB2312" w:cs="仿宋_GB2312"/>
          <w:b/>
          <w:bCs/>
          <w:i w:val="0"/>
          <w:caps w:val="0"/>
          <w:spacing w:val="0"/>
          <w:w w:val="100"/>
          <w:kern w:val="0"/>
          <w:sz w:val="32"/>
          <w:szCs w:val="32"/>
          <w:lang w:val="en-US" w:eastAsia="zh-CN"/>
        </w:rPr>
        <w:t>有无职称两种情况。</w:t>
      </w:r>
      <w:r>
        <w:rPr>
          <w:rStyle w:val="5"/>
          <w:rFonts w:ascii="仿宋_GB2312" w:hAnsi="仿宋_GB2312" w:eastAsia="仿宋_GB2312"/>
          <w:b w:val="0"/>
          <w:i w:val="0"/>
          <w:caps w:val="0"/>
          <w:spacing w:val="0"/>
          <w:w w:val="100"/>
          <w:kern w:val="0"/>
          <w:sz w:val="32"/>
          <w:szCs w:val="32"/>
          <w:lang w:val="en-US" w:eastAsia="zh-CN"/>
        </w:rPr>
        <w:t>有职称的：除全科人员材料外，需提供一级建造师临时执业证书或一级项目经理资质证书原件及复印件，中级及以上专业技术职称原件及复印件。无职称的：除全科人员材料外，需提供一级建造师临时执业证书或一级项目经理资质证书原件及复印件，从事建设项目施工管理工作满15年证明材料原件。</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b w:val="0"/>
          <w:i w:val="0"/>
          <w:caps w:val="0"/>
          <w:spacing w:val="0"/>
          <w:w w:val="100"/>
          <w:kern w:val="0"/>
          <w:sz w:val="32"/>
          <w:szCs w:val="32"/>
          <w:lang w:val="en-US" w:eastAsia="zh-CN"/>
        </w:rPr>
        <w:t>（2）免试《建设工程施工管理》1个科目的考生除全科人员材料外，需提供二级建造师临时执业证书或二级项目经理资质证书原件及复印件，且有中级及以上专业技术职称原件及复印件，从事建设项目施工管理工作满15年证明材料原件。该类人员须同时具有职称和15年证明材料。</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b w:val="0"/>
          <w:i w:val="0"/>
          <w:caps w:val="0"/>
          <w:spacing w:val="0"/>
          <w:w w:val="100"/>
          <w:kern w:val="0"/>
          <w:sz w:val="32"/>
          <w:szCs w:val="32"/>
          <w:lang w:val="en-US" w:eastAsia="zh-CN"/>
        </w:rPr>
        <w:t>（3）免试《建设工程法规及相关知识》1个科目的考生除全科人员材料外需提供河南省建筑企业小型项目建造师证书原件及复印件。</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baseline"/>
        <w:rPr>
          <w:rStyle w:val="5"/>
          <w:rFonts w:ascii="仿宋_GB2312" w:hAnsi="仿宋_GB2312" w:eastAsia="仿宋_GB2312" w:cs="仿宋_GB2312"/>
          <w:b/>
          <w:bCs/>
          <w:i w:val="0"/>
          <w:caps w:val="0"/>
          <w:spacing w:val="0"/>
          <w:w w:val="100"/>
          <w:kern w:val="0"/>
          <w:sz w:val="32"/>
          <w:szCs w:val="32"/>
          <w:lang w:val="en-US" w:eastAsia="zh-CN"/>
        </w:rPr>
      </w:pPr>
      <w:r>
        <w:rPr>
          <w:rStyle w:val="5"/>
          <w:rFonts w:ascii="仿宋_GB2312" w:hAnsi="仿宋_GB2312" w:eastAsia="仿宋_GB2312" w:cs="仿宋_GB2312"/>
          <w:b/>
          <w:bCs/>
          <w:i w:val="0"/>
          <w:caps w:val="0"/>
          <w:spacing w:val="0"/>
          <w:w w:val="100"/>
          <w:kern w:val="0"/>
          <w:sz w:val="32"/>
          <w:szCs w:val="32"/>
          <w:lang w:val="en-US" w:eastAsia="zh-CN"/>
        </w:rPr>
        <w:t>（三）增项人员：</w:t>
      </w:r>
      <w:r>
        <w:rPr>
          <w:rStyle w:val="5"/>
          <w:rFonts w:ascii="仿宋_GB2312" w:hAnsi="仿宋_GB2312" w:eastAsia="仿宋_GB2312"/>
          <w:b w:val="0"/>
          <w:i w:val="0"/>
          <w:caps w:val="0"/>
          <w:spacing w:val="0"/>
          <w:w w:val="100"/>
          <w:kern w:val="0"/>
          <w:sz w:val="32"/>
          <w:szCs w:val="32"/>
          <w:lang w:val="en-US" w:eastAsia="zh-CN"/>
        </w:rPr>
        <w:t>除全科人员材料外，需提供已取得某专业二级建造师职业资格证书原件及复印件。</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黑体" w:hAnsi="黑体" w:eastAsia="黑体" w:cs="黑体"/>
          <w:b w:val="0"/>
          <w:bCs/>
          <w:i w:val="0"/>
          <w:caps w:val="0"/>
          <w:spacing w:val="0"/>
          <w:w w:val="100"/>
          <w:kern w:val="0"/>
          <w:sz w:val="32"/>
          <w:szCs w:val="32"/>
          <w:lang w:val="en-US" w:eastAsia="zh-CN"/>
        </w:rPr>
      </w:pPr>
      <w:r>
        <w:rPr>
          <w:rStyle w:val="4"/>
          <w:rFonts w:ascii="黑体" w:hAnsi="黑体" w:eastAsia="黑体" w:cs="黑体"/>
          <w:b w:val="0"/>
          <w:bCs/>
          <w:i w:val="0"/>
          <w:caps w:val="0"/>
          <w:color w:val="000000"/>
          <w:spacing w:val="0"/>
          <w:w w:val="100"/>
          <w:kern w:val="0"/>
          <w:sz w:val="32"/>
          <w:szCs w:val="32"/>
          <w:lang w:val="en-US" w:eastAsia="zh-CN"/>
        </w:rPr>
        <w:t>二、资格审核口径</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964" w:firstLineChars="300"/>
        <w:jc w:val="left"/>
        <w:textAlignment w:val="baseline"/>
        <w:rPr>
          <w:rStyle w:val="5"/>
          <w:rFonts w:ascii="仿宋_GB2312" w:hAnsi="仿宋_GB2312" w:eastAsia="仿宋_GB2312" w:cs="仿宋_GB2312"/>
          <w:b/>
          <w:bCs/>
          <w:i w:val="0"/>
          <w:caps w:val="0"/>
          <w:spacing w:val="0"/>
          <w:w w:val="100"/>
          <w:kern w:val="0"/>
          <w:sz w:val="32"/>
          <w:szCs w:val="32"/>
          <w:lang w:val="en-US" w:eastAsia="zh-CN"/>
        </w:rPr>
      </w:pPr>
      <w:r>
        <w:rPr>
          <w:rStyle w:val="5"/>
          <w:rFonts w:ascii="仿宋_GB2312" w:hAnsi="仿宋_GB2312" w:eastAsia="仿宋_GB2312" w:cs="仿宋_GB2312"/>
          <w:b/>
          <w:bCs/>
          <w:i w:val="0"/>
          <w:caps w:val="0"/>
          <w:color w:val="000000"/>
          <w:spacing w:val="0"/>
          <w:w w:val="100"/>
          <w:kern w:val="0"/>
          <w:sz w:val="32"/>
          <w:szCs w:val="32"/>
          <w:lang w:val="en-US" w:eastAsia="zh-CN"/>
        </w:rPr>
        <w:t>(一)关于学历</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960" w:firstLineChars="300"/>
        <w:jc w:val="left"/>
        <w:textAlignment w:val="baseline"/>
        <w:rPr>
          <w:rStyle w:val="5"/>
          <w:rFonts w:ascii="仿宋_GB2312" w:hAnsi="仿宋_GB2312" w:eastAsia="仿宋_GB2312"/>
          <w:b w:val="0"/>
          <w:i w:val="0"/>
          <w:caps w:val="0"/>
          <w:color w:val="00000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1.研修学院的学历属于非教育部门正规学历,不可以报考。如清华大学长三角研究院、中国城市发展研究院（CCDA），河南省人民政府发展研究中心。</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2.从事建设工程项目施工管理工作满15年的职业高中毕业可以报考。</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3.党校学历中的专业如果符合考试项目规定的专业或相近专业可以报考。</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4.技工学校中级工班、高级工班、预备技师(技师)班毕业生分别相当于中专、大专和本科学历。</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5.教育部学历证书电子注册备案表中毕业结论为“结业、肄业”视为未取得毕业证书，不符合报考要求。</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6.留学学历需提供“教育部留学服务中心”出具的“国外学历学位认证书”。</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color w:val="00000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7.</w:t>
      </w:r>
      <w:r>
        <w:rPr>
          <w:rStyle w:val="5"/>
          <w:rFonts w:ascii="仿宋_GB2312" w:hAnsi="仿宋_GB2312" w:eastAsia="仿宋_GB2312"/>
          <w:b w:val="0"/>
          <w:i w:val="0"/>
          <w:caps w:val="0"/>
          <w:spacing w:val="0"/>
          <w:w w:val="100"/>
          <w:kern w:val="0"/>
          <w:sz w:val="32"/>
          <w:szCs w:val="32"/>
          <w:lang w:val="en-US" w:eastAsia="zh-CN"/>
        </w:rPr>
        <w:t>学信网不可查验证书及中专学历的考生需提供学历认证报告。</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cs="仿宋_GB2312"/>
          <w:b/>
          <w:bCs/>
          <w:i w:val="0"/>
          <w:caps w:val="0"/>
          <w:spacing w:val="0"/>
          <w:w w:val="100"/>
          <w:kern w:val="0"/>
          <w:sz w:val="32"/>
          <w:szCs w:val="32"/>
          <w:lang w:val="en-US" w:eastAsia="zh-CN"/>
        </w:rPr>
      </w:pPr>
      <w:r>
        <w:rPr>
          <w:rStyle w:val="5"/>
          <w:rFonts w:ascii="仿宋_GB2312" w:hAnsi="仿宋_GB2312" w:eastAsia="仿宋_GB2312" w:cs="仿宋_GB2312"/>
          <w:b/>
          <w:bCs/>
          <w:i w:val="0"/>
          <w:caps w:val="0"/>
          <w:color w:val="000000"/>
          <w:spacing w:val="0"/>
          <w:w w:val="100"/>
          <w:kern w:val="0"/>
          <w:sz w:val="32"/>
          <w:szCs w:val="32"/>
          <w:lang w:val="en-US" w:eastAsia="zh-CN"/>
        </w:rPr>
        <w:t>(二)关于专业</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1.哲学、文学、法学、语言学、历史学、教育学、医学七大门类下的专业不属于工程和工程经济类专业,不符合二级建造师报考条件。</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2.会计、会计电算化、行政管理、物流管理、旅游管理、经济与行政管理、公共事务管理、劳动经济管理、国际经济与贸易、电子商务、汽车技术服务与营销、药学、果蔬花卉生产技术、动物科学等专业不属于工程和工程经济类专业,不符合二级建造师报考条件</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color w:val="00000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3.理学、管理学门类中部分可授工学学位的专业可以认定为工程和工程经济类专业本专业或相近专业,符合报考条件的专业要求。如</w:t>
      </w:r>
      <w:r>
        <w:rPr>
          <w:rFonts w:ascii="仿宋_GB2312" w:hAnsi="仿宋_GB2312" w:eastAsia="仿宋_GB2312"/>
          <w:b w:val="0"/>
          <w:i w:val="0"/>
          <w:caps w:val="0"/>
          <w:color w:val="000000"/>
          <w:spacing w:val="0"/>
          <w:w w:val="100"/>
          <w:sz w:val="32"/>
          <w:highlight w:val="white"/>
        </w:rPr>
        <w:t>计算机科学与技术专业、电子科学与技术专业可授予工学、理学学位。</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4.艺术设计专业中,方向为环境艺术、室内设计、景观设计、装饰装修等工程设计方向,符合二级建造师报考条件;平面设计、广告设计、动漫设计等非工程设计方向,不符合二级建造师报考条件。</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5.食品工程、风景园林、观赏园艺和园林专业,符合一、二级建造师报考条件。</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7.对专业的把握以专业对照表为依据,不按报考人员所学专业的学科门类进行判断。</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8、其他相近专业,需核查课程设置表。</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cs="仿宋_GB2312"/>
          <w:b/>
          <w:bCs/>
          <w:i w:val="0"/>
          <w:caps w:val="0"/>
          <w:color w:val="000000"/>
          <w:spacing w:val="0"/>
          <w:w w:val="100"/>
          <w:kern w:val="0"/>
          <w:sz w:val="32"/>
          <w:szCs w:val="32"/>
          <w:lang w:val="en-US" w:eastAsia="zh-CN"/>
        </w:rPr>
        <w:t>(三)关于时间节点   </w:t>
      </w:r>
      <w:r>
        <w:rPr>
          <w:rStyle w:val="5"/>
          <w:rFonts w:ascii="仿宋_GB2312" w:hAnsi="仿宋_GB2312" w:eastAsia="仿宋_GB2312"/>
          <w:b w:val="0"/>
          <w:i w:val="0"/>
          <w:caps w:val="0"/>
          <w:color w:val="000000"/>
          <w:spacing w:val="0"/>
          <w:w w:val="100"/>
          <w:kern w:val="0"/>
          <w:sz w:val="32"/>
          <w:szCs w:val="32"/>
          <w:lang w:val="en-US" w:eastAsia="zh-CN"/>
        </w:rPr>
        <w:t>                                 </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color w:val="FF000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1.考生通过自考、函授等继续教育方式在专技类考试通过年度取得符合报考的学历,取得学历时间在考试之前,符合报名条件。</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2.学位证书显示“脱产”的本科学历,学习时间不计算在工作时间内。</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color w:val="00000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3.全日制学习期间,实习期间均不计算工作年限。</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color w:val="00000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4.关于“具备工程类或工程经济类中专及以上学历并从事建设工程项目施工管理工作满2年”的理解:两个条件是并列关系，并不是取得学历后工作满两年。如该同志从事2019年从事建设工程项目施工管理工作，但是今年才取得相关学历，只要有学历证明，即符合报名条件。</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cs="仿宋_GB2312"/>
          <w:b/>
          <w:bCs/>
          <w:i w:val="0"/>
          <w:caps w:val="0"/>
          <w:spacing w:val="0"/>
          <w:w w:val="100"/>
          <w:kern w:val="0"/>
          <w:sz w:val="32"/>
          <w:szCs w:val="32"/>
          <w:lang w:val="en-US" w:eastAsia="zh-CN"/>
        </w:rPr>
      </w:pPr>
      <w:r>
        <w:rPr>
          <w:rStyle w:val="5"/>
          <w:rFonts w:ascii="仿宋_GB2312" w:hAnsi="仿宋_GB2312" w:eastAsia="仿宋_GB2312" w:cs="仿宋_GB2312"/>
          <w:b/>
          <w:bCs/>
          <w:i w:val="0"/>
          <w:caps w:val="0"/>
          <w:color w:val="000000"/>
          <w:spacing w:val="0"/>
          <w:w w:val="100"/>
          <w:kern w:val="0"/>
          <w:sz w:val="32"/>
          <w:szCs w:val="32"/>
          <w:lang w:val="en-US" w:eastAsia="zh-CN"/>
        </w:rPr>
        <w:t>(四)其他</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color w:val="00000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1.按照属地原则，二级建造师只针对在本省内从事相关工作的人员。</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2.二级建造师考试,其中对工作经历要求仅是从事建设工程项目施工管理工作,不是特定要在同一建筑单位工作2年或15年。</w:t>
      </w:r>
    </w:p>
    <w:p>
      <w:pPr>
        <w:pStyle w:val="8"/>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baseline"/>
        <w:rPr>
          <w:rStyle w:val="5"/>
          <w:rFonts w:ascii="仿宋_GB2312" w:hAnsi="仿宋_GB2312" w:eastAsia="仿宋_GB2312"/>
          <w:b w:val="0"/>
          <w:i w:val="0"/>
          <w:caps w:val="0"/>
          <w:spacing w:val="0"/>
          <w:w w:val="100"/>
          <w:kern w:val="0"/>
          <w:sz w:val="32"/>
          <w:szCs w:val="32"/>
          <w:lang w:val="en-US" w:eastAsia="zh-CN"/>
        </w:rPr>
      </w:pPr>
      <w:r>
        <w:rPr>
          <w:rStyle w:val="5"/>
          <w:rFonts w:ascii="仿宋_GB2312" w:hAnsi="仿宋_GB2312" w:eastAsia="仿宋_GB2312"/>
          <w:b w:val="0"/>
          <w:i w:val="0"/>
          <w:caps w:val="0"/>
          <w:color w:val="000000"/>
          <w:spacing w:val="0"/>
          <w:w w:val="100"/>
          <w:kern w:val="0"/>
          <w:sz w:val="32"/>
          <w:szCs w:val="32"/>
          <w:lang w:val="en-US" w:eastAsia="zh-CN"/>
        </w:rPr>
        <w:t>3.我省专业技术人员资格考试实行报名审核和考后审查两个环节,全国专业技术人员资格考试报名服务平台对考生填报的学历、学位、专业信息与数据库进行信息比对系考前抽查环节, 通过信息比对不等同于符合发证的资格条件;考试成绩公布后,主管部门还将对成绩合格的考生进行考后审查,是否符合发证资格应以考后资格审查意见为准。</w:t>
      </w:r>
    </w:p>
    <w:p>
      <w:pPr>
        <w:snapToGrid/>
        <w:spacing w:before="0" w:beforeAutospacing="0" w:after="0" w:afterAutospacing="0" w:line="240" w:lineRule="auto"/>
        <w:jc w:val="both"/>
        <w:textAlignment w:val="baseline"/>
        <w:rPr>
          <w:rStyle w:val="5"/>
          <w:rFonts w:ascii="仿宋_GB2312" w:hAnsi="仿宋_GB2312" w:eastAsia="仿宋_GB2312"/>
          <w:b w:val="0"/>
          <w:i w:val="0"/>
          <w:caps w:val="0"/>
          <w:spacing w:val="0"/>
          <w:w w:val="100"/>
          <w:kern w:val="2"/>
          <w:sz w:val="32"/>
          <w:szCs w:val="32"/>
          <w:lang w:val="en-US" w:eastAsia="zh-CN" w:bidi="ar-SA"/>
        </w:rPr>
      </w:pPr>
    </w:p>
    <w:sectPr>
      <w:pgSz w:w="11906" w:h="16838"/>
      <w:pgMar w:top="1440" w:right="1800" w:bottom="1440" w:left="1800" w:header="851" w:footer="992" w:gutter="0"/>
      <w:lnNumType w:countBy="0"/>
      <w:cols w:space="425"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isplayHorizontalDrawingGridEvery w:val="1"/>
  <w:displayVerticalDrawingGridEvery w:val="1"/>
  <w:doNotUseMarginsForDrawingGridOrigin w:val="1"/>
  <w:drawingGridHorizontalOrigin w:val="1800"/>
  <w:drawingGridVerticalOrigin w:val="1440"/>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A06D4C"/>
    <w:rsid w:val="4A2F128C"/>
    <w:rsid w:val="76405D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6"/>
    <w:qFormat/>
    <w:uiPriority w:val="0"/>
    <w:pPr>
      <w:jc w:val="both"/>
      <w:textAlignment w:val="baseline"/>
    </w:pPr>
    <w:rPr>
      <w:rFonts w:ascii="Calibri" w:hAnsi="Calibri" w:eastAsia="宋体"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5"/>
    <w:link w:val="1"/>
    <w:qFormat/>
    <w:uiPriority w:val="0"/>
    <w:rPr>
      <w:b/>
    </w:rPr>
  </w:style>
  <w:style w:type="character" w:customStyle="1" w:styleId="5">
    <w:name w:val="NormalCharacter"/>
    <w:link w:val="1"/>
    <w:semiHidden/>
    <w:qFormat/>
    <w:uiPriority w:val="0"/>
  </w:style>
  <w:style w:type="character" w:styleId="6">
    <w:name w:val="Hyperlink"/>
    <w:basedOn w:val="5"/>
    <w:link w:val="1"/>
    <w:qFormat/>
    <w:uiPriority w:val="0"/>
    <w:rPr>
      <w:color w:val="0000FF"/>
      <w:u w:val="single"/>
    </w:rPr>
  </w:style>
  <w:style w:type="table" w:customStyle="1" w:styleId="7">
    <w:name w:val="TableNormal"/>
    <w:semiHidden/>
    <w:qFormat/>
    <w:uiPriority w:val="0"/>
  </w:style>
  <w:style w:type="paragraph" w:customStyle="1" w:styleId="8">
    <w:name w:val="HtmlNormal"/>
    <w:basedOn w:val="1"/>
    <w:qFormat/>
    <w:uiPriority w:val="0"/>
    <w:pPr>
      <w:spacing w:before="100" w:beforeAutospacing="1" w:after="100" w:afterAutospacing="1"/>
      <w:ind w:left="0" w:right="0"/>
      <w:jc w:val="left"/>
      <w:textAlignment w:val="baseline"/>
    </w:pPr>
    <w:rPr>
      <w:rFonts w:ascii="Calibri" w:hAnsi="Calibri" w:eastAsia="宋体"/>
      <w:kern w:val="0"/>
      <w:sz w:val="24"/>
      <w:szCs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24</TotalTime>
  <ScaleCrop>false</ScaleCrop>
  <LinksUpToDate>false</LinksUpToDate>
  <Application>WPS Office_11.1.0.10938_F1E327BC-269C-435d-A152-05C5408002CA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2021-10-22T07:00:00Z</dcterms:created>
  <dc:creator>Administrator.BF-20210910PJXD</dc:creator>
  <cp:lastModifiedBy>Administrator</cp:lastModifiedBy>
  <cp:lastPrinted>2021-10-27T07:54:31Z</cp:lastPrinted>
  <dcterms:modified xsi:type="dcterms:W3CDTF">2021-10-27T07:58:19Z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28D321851DC247C1B81FC87DE01B0FA8</vt:lpwstr>
  </property>
</Properties>
</file>